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7943F0A" w14:textId="77777777" w:rsidR="00CB0E5B" w:rsidRDefault="00C201B8">
      <w:pPr>
        <w:spacing w:before="240" w:after="120"/>
      </w:pPr>
      <w:bookmarkStart w:id="0" w:name="h.gjdgxs" w:colFirst="0" w:colLast="0"/>
      <w:bookmarkEnd w:id="0"/>
      <w:r>
        <w:rPr>
          <w:b/>
          <w:color w:val="F7A11A"/>
          <w:sz w:val="30"/>
          <w:szCs w:val="30"/>
        </w:rPr>
        <w:t xml:space="preserve">BTEC Assignment Brief </w:t>
      </w:r>
    </w:p>
    <w:tbl>
      <w:tblPr>
        <w:tblStyle w:val="a1"/>
        <w:tblW w:w="9207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3"/>
        <w:gridCol w:w="1127"/>
        <w:gridCol w:w="6327"/>
      </w:tblGrid>
      <w:tr w:rsidR="00CB0E5B" w14:paraId="17943F1B" w14:textId="77777777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943F0B" w14:textId="77777777" w:rsidR="00CB0E5B" w:rsidRPr="008829DA" w:rsidRDefault="008829DA">
            <w:pPr>
              <w:rPr>
                <w:b/>
              </w:rPr>
            </w:pPr>
            <w:r w:rsidRPr="008829DA">
              <w:rPr>
                <w:b/>
              </w:rPr>
              <w:t>Qualification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3F1A" w14:textId="0288980D" w:rsidR="0054044A" w:rsidRPr="00814015" w:rsidRDefault="004F5150" w:rsidP="0081401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Pearson BTEC Level 3 National Extended Diploma in Engineering </w:t>
            </w:r>
            <w:r w:rsidR="00CB5C4B" w:rsidRPr="00023936">
              <w:rPr>
                <w:rFonts w:cs="Arial"/>
              </w:rPr>
              <w:t xml:space="preserve"> </w:t>
            </w:r>
          </w:p>
        </w:tc>
      </w:tr>
      <w:tr w:rsidR="008829DA" w14:paraId="17943F1F" w14:textId="77777777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943F1C" w14:textId="77777777" w:rsidR="008829DA" w:rsidRDefault="00813879">
            <w:pPr>
              <w:rPr>
                <w:b/>
              </w:rPr>
            </w:pPr>
            <w:r>
              <w:rPr>
                <w:b/>
              </w:rPr>
              <w:t>Unit number and t</w:t>
            </w:r>
            <w:r w:rsidR="008829DA">
              <w:rPr>
                <w:b/>
              </w:rPr>
              <w:t>itle</w:t>
            </w:r>
          </w:p>
          <w:p w14:paraId="17943F1D" w14:textId="77777777" w:rsidR="008829DA" w:rsidRPr="008829DA" w:rsidRDefault="008829DA">
            <w:pPr>
              <w:rPr>
                <w:b/>
              </w:rPr>
            </w:pP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3F1E" w14:textId="77777777" w:rsidR="008829DA" w:rsidRPr="00023936" w:rsidRDefault="00CB5C4B" w:rsidP="004F1802">
            <w:pPr>
              <w:rPr>
                <w:b/>
              </w:rPr>
            </w:pPr>
            <w:r w:rsidRPr="00023936">
              <w:rPr>
                <w:b/>
              </w:rPr>
              <w:t xml:space="preserve">Unit </w:t>
            </w:r>
            <w:r w:rsidR="004F1802" w:rsidRPr="00023936">
              <w:rPr>
                <w:b/>
              </w:rPr>
              <w:t>41</w:t>
            </w:r>
            <w:r w:rsidRPr="00023936">
              <w:rPr>
                <w:b/>
              </w:rPr>
              <w:t xml:space="preserve">: </w:t>
            </w:r>
            <w:r w:rsidR="004F1802" w:rsidRPr="00023936">
              <w:rPr>
                <w:b/>
              </w:rPr>
              <w:t>Manufacturing Secondary Machining Processes</w:t>
            </w:r>
          </w:p>
        </w:tc>
      </w:tr>
      <w:tr w:rsidR="008829DA" w14:paraId="17943F22" w14:textId="77777777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943F20" w14:textId="77777777" w:rsidR="008829DA" w:rsidRDefault="008829DA" w:rsidP="008829DA">
            <w:pPr>
              <w:rPr>
                <w:b/>
              </w:rPr>
            </w:pPr>
            <w:r>
              <w:rPr>
                <w:b/>
              </w:rPr>
              <w:t xml:space="preserve">Learning aim(s) </w:t>
            </w:r>
            <w:r w:rsidRPr="008829DA">
              <w:rPr>
                <w:sz w:val="16"/>
                <w:szCs w:val="16"/>
              </w:rPr>
              <w:t>(For NQF only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3F21" w14:textId="77777777" w:rsidR="005E01CB" w:rsidRPr="00023936" w:rsidRDefault="00B509F3" w:rsidP="004F1802">
            <w:pPr>
              <w:autoSpaceDE w:val="0"/>
              <w:autoSpaceDN w:val="0"/>
              <w:adjustRightInd w:val="0"/>
            </w:pPr>
            <w:r w:rsidRPr="00023936">
              <w:rPr>
                <w:rStyle w:val="TextChar"/>
                <w:b/>
                <w:sz w:val="20"/>
                <w:szCs w:val="20"/>
              </w:rPr>
              <w:t>D</w:t>
            </w:r>
            <w:r w:rsidR="005E01CB" w:rsidRPr="00023936">
              <w:rPr>
                <w:rStyle w:val="TextChar"/>
                <w:b/>
                <w:sz w:val="20"/>
                <w:szCs w:val="20"/>
              </w:rPr>
              <w:t>:</w:t>
            </w:r>
            <w:r w:rsidR="005E01CB" w:rsidRPr="00023936">
              <w:rPr>
                <w:rStyle w:val="TextChar"/>
                <w:sz w:val="20"/>
                <w:szCs w:val="20"/>
              </w:rPr>
              <w:t xml:space="preserve"> </w:t>
            </w:r>
            <w:r w:rsidRPr="00023936">
              <w:rPr>
                <w:rStyle w:val="TextChar"/>
                <w:sz w:val="20"/>
                <w:szCs w:val="20"/>
              </w:rPr>
              <w:t>Review the processes used to machine a component and reflect on personal performance</w:t>
            </w:r>
          </w:p>
        </w:tc>
      </w:tr>
      <w:tr w:rsidR="008829DA" w14:paraId="17943F25" w14:textId="77777777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943F23" w14:textId="77777777" w:rsidR="008829DA" w:rsidRDefault="008829DA">
            <w:pPr>
              <w:rPr>
                <w:b/>
              </w:rPr>
            </w:pPr>
            <w:r>
              <w:rPr>
                <w:b/>
              </w:rPr>
              <w:t>Assignment title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3F24" w14:textId="77777777" w:rsidR="008829DA" w:rsidRDefault="00384664" w:rsidP="00B509F3">
            <w:r>
              <w:t>Review and reflection on</w:t>
            </w:r>
            <w:r w:rsidR="005E01CB">
              <w:t xml:space="preserve"> s</w:t>
            </w:r>
            <w:r w:rsidR="00621083">
              <w:t xml:space="preserve">econdary </w:t>
            </w:r>
            <w:r w:rsidR="005E01CB">
              <w:t>m</w:t>
            </w:r>
            <w:r w:rsidR="00621083">
              <w:t xml:space="preserve">achining </w:t>
            </w:r>
            <w:r w:rsidR="005E01CB">
              <w:t>p</w:t>
            </w:r>
            <w:r w:rsidR="00621083">
              <w:t>rocesses</w:t>
            </w:r>
            <w:r w:rsidR="00A8116C">
              <w:t xml:space="preserve"> and personal performance</w:t>
            </w:r>
          </w:p>
        </w:tc>
      </w:tr>
      <w:tr w:rsidR="00CB0E5B" w14:paraId="17943F29" w14:textId="77777777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943F26" w14:textId="77777777" w:rsidR="00CB0E5B" w:rsidRDefault="00C201B8">
            <w:r>
              <w:rPr>
                <w:b/>
              </w:rPr>
              <w:t>Assessor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3F28" w14:textId="11FABA06" w:rsidR="0054044A" w:rsidRDefault="004909E4" w:rsidP="00C1725A">
            <w:r>
              <w:t>J Kupper</w:t>
            </w:r>
          </w:p>
        </w:tc>
      </w:tr>
      <w:tr w:rsidR="00CB0E5B" w14:paraId="17943F2D" w14:textId="77777777" w:rsidTr="00AD3937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943F2A" w14:textId="77777777" w:rsidR="00CB0E5B" w:rsidRDefault="00813879">
            <w:r>
              <w:rPr>
                <w:b/>
              </w:rPr>
              <w:t>Issue date</w:t>
            </w:r>
          </w:p>
        </w:tc>
        <w:tc>
          <w:tcPr>
            <w:tcW w:w="63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943F2B" w14:textId="06DAEF48" w:rsidR="00CB0E5B" w:rsidRDefault="004909E4">
            <w:r>
              <w:t>07/10/19</w:t>
            </w:r>
          </w:p>
          <w:p w14:paraId="17943F2C" w14:textId="77777777" w:rsidR="0054044A" w:rsidRDefault="0054044A"/>
        </w:tc>
      </w:tr>
      <w:tr w:rsidR="00CB0E5B" w14:paraId="17943F31" w14:textId="77777777" w:rsidTr="00AD3937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7943F2E" w14:textId="77777777" w:rsidR="00CB0E5B" w:rsidRDefault="00C201B8">
            <w:r>
              <w:rPr>
                <w:b/>
              </w:rPr>
              <w:t xml:space="preserve">Hand in deadline   </w:t>
            </w:r>
          </w:p>
        </w:tc>
        <w:tc>
          <w:tcPr>
            <w:tcW w:w="632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7943F30" w14:textId="38B47680" w:rsidR="0054044A" w:rsidRDefault="004909E4" w:rsidP="00C1725A">
            <w:r>
              <w:t xml:space="preserve">21/10/19 </w:t>
            </w:r>
            <w:bookmarkStart w:id="1" w:name="_GoBack"/>
            <w:bookmarkEnd w:id="1"/>
          </w:p>
        </w:tc>
      </w:tr>
      <w:tr w:rsidR="00CB0E5B" w14:paraId="17943F33" w14:textId="77777777" w:rsidTr="00AD3937">
        <w:tc>
          <w:tcPr>
            <w:tcW w:w="92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943F32" w14:textId="77777777" w:rsidR="00CB0E5B" w:rsidRDefault="00CB0E5B"/>
        </w:tc>
      </w:tr>
      <w:tr w:rsidR="00CB0E5B" w14:paraId="17943F35" w14:textId="77777777" w:rsidTr="00AD3937">
        <w:tc>
          <w:tcPr>
            <w:tcW w:w="9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943F34" w14:textId="77777777" w:rsidR="00CB0E5B" w:rsidRDefault="00CB0E5B"/>
        </w:tc>
      </w:tr>
      <w:tr w:rsidR="00CB5C4B" w14:paraId="17943F3A" w14:textId="77777777" w:rsidTr="00AD3937"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943F36" w14:textId="77777777" w:rsidR="00CB5C4B" w:rsidRDefault="00CB5C4B">
            <w:r>
              <w:rPr>
                <w:b/>
              </w:rPr>
              <w:t>Vocational Scenario or Context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7943F37" w14:textId="77777777" w:rsidR="00CB5C4B" w:rsidRPr="00FD2BD8" w:rsidRDefault="00CB5C4B" w:rsidP="00B06A48">
            <w:pPr>
              <w:autoSpaceDE w:val="0"/>
              <w:autoSpaceDN w:val="0"/>
              <w:adjustRightInd w:val="0"/>
              <w:spacing w:before="62"/>
            </w:pPr>
            <w:r w:rsidRPr="00FD2BD8">
              <w:t xml:space="preserve">You are working as a final year apprentice in </w:t>
            </w:r>
            <w:r w:rsidR="00FD6E91">
              <w:t>the machin</w:t>
            </w:r>
            <w:r w:rsidR="003E757F">
              <w:t>e</w:t>
            </w:r>
            <w:r w:rsidR="00FD6E91">
              <w:t xml:space="preserve"> shop of a medium sized</w:t>
            </w:r>
            <w:r w:rsidRPr="00FD2BD8">
              <w:t xml:space="preserve"> engineering company. Your supervisor is pleased with your work</w:t>
            </w:r>
            <w:r w:rsidR="00FD6E91">
              <w:t xml:space="preserve"> and your ability to operate machinery to carry out secondary machining processes.</w:t>
            </w:r>
          </w:p>
          <w:p w14:paraId="17943F39" w14:textId="56715F82" w:rsidR="00426F9F" w:rsidRPr="00814015" w:rsidRDefault="002C1FC8" w:rsidP="003E757F">
            <w:pPr>
              <w:autoSpaceDE w:val="0"/>
              <w:autoSpaceDN w:val="0"/>
              <w:adjustRightInd w:val="0"/>
              <w:spacing w:before="62"/>
            </w:pPr>
            <w:r>
              <w:t>Your supervisor would now like you to produce a reflective report</w:t>
            </w:r>
            <w:r w:rsidR="003F3ABA">
              <w:t>,</w:t>
            </w:r>
            <w:r>
              <w:t xml:space="preserve"> </w:t>
            </w:r>
            <w:r w:rsidR="003E757F">
              <w:t xml:space="preserve">based on </w:t>
            </w:r>
            <w:r w:rsidR="003F3ABA">
              <w:t xml:space="preserve">what happened when you set-up and carried out </w:t>
            </w:r>
            <w:r w:rsidR="00A8116C">
              <w:t xml:space="preserve">the </w:t>
            </w:r>
            <w:r w:rsidR="003F3ABA">
              <w:t xml:space="preserve">secondary machining processes, </w:t>
            </w:r>
            <w:r>
              <w:t>in which you identify what went well, what could have gone better and what you can take forward to the next stage of your development as a</w:t>
            </w:r>
            <w:r w:rsidR="003E757F">
              <w:t xml:space="preserve">n </w:t>
            </w:r>
            <w:r>
              <w:t>engineer</w:t>
            </w:r>
            <w:r w:rsidRPr="00023936">
              <w:t>.</w:t>
            </w:r>
          </w:p>
        </w:tc>
      </w:tr>
      <w:tr w:rsidR="00CB5C4B" w14:paraId="17943F4D" w14:textId="77777777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943F3B" w14:textId="77777777" w:rsidR="00CB5C4B" w:rsidRDefault="00CB5C4B">
            <w:r>
              <w:rPr>
                <w:b/>
              </w:rPr>
              <w:t>Task 1</w:t>
            </w:r>
          </w:p>
        </w:tc>
        <w:tc>
          <w:tcPr>
            <w:tcW w:w="6327" w:type="dxa"/>
            <w:tcBorders>
              <w:left w:val="single" w:sz="4" w:space="0" w:color="000000"/>
            </w:tcBorders>
            <w:vAlign w:val="center"/>
          </w:tcPr>
          <w:p w14:paraId="17943F3C" w14:textId="77777777" w:rsidR="00FE370B" w:rsidRPr="0093650E" w:rsidRDefault="00FE370B" w:rsidP="0093650E">
            <w:pPr>
              <w:ind w:left="12"/>
            </w:pPr>
            <w:r w:rsidRPr="0093650E">
              <w:t xml:space="preserve">You have been asked to review and reflect on the practical activities you carried out when </w:t>
            </w:r>
            <w:r w:rsidR="003F3ABA" w:rsidRPr="0093650E">
              <w:t xml:space="preserve">setting-up and </w:t>
            </w:r>
            <w:r w:rsidRPr="0093650E">
              <w:t xml:space="preserve">using secondary machining processes to manufacture a component. You now need to produce a report that considers the ‘lessons learnt’ during the </w:t>
            </w:r>
            <w:r w:rsidR="003F3ABA" w:rsidRPr="0093650E">
              <w:t>activities</w:t>
            </w:r>
            <w:r w:rsidRPr="0093650E">
              <w:t>.</w:t>
            </w:r>
          </w:p>
          <w:p w14:paraId="17943F3D" w14:textId="77777777" w:rsidR="00B40C92" w:rsidRPr="0093650E" w:rsidRDefault="00B40C92" w:rsidP="0093650E">
            <w:pPr>
              <w:autoSpaceDE w:val="0"/>
              <w:autoSpaceDN w:val="0"/>
              <w:adjustRightInd w:val="0"/>
              <w:spacing w:before="63" w:after="120"/>
              <w:ind w:right="-1"/>
            </w:pPr>
          </w:p>
          <w:p w14:paraId="17943F3E" w14:textId="77777777" w:rsidR="00FE370B" w:rsidRPr="0093650E" w:rsidRDefault="0035109D" w:rsidP="0093650E">
            <w:pPr>
              <w:autoSpaceDE w:val="0"/>
              <w:autoSpaceDN w:val="0"/>
              <w:adjustRightInd w:val="0"/>
              <w:spacing w:before="63" w:after="120"/>
              <w:ind w:right="-1"/>
            </w:pPr>
            <w:r w:rsidRPr="0093650E">
              <w:rPr>
                <w:b/>
                <w:bCs/>
              </w:rPr>
              <w:t>To do this:</w:t>
            </w:r>
          </w:p>
          <w:p w14:paraId="17943F3F" w14:textId="77777777" w:rsidR="00FE370B" w:rsidRDefault="00FE370B" w:rsidP="00426F9F">
            <w:pPr>
              <w:spacing w:before="60" w:after="60"/>
              <w:ind w:left="12"/>
            </w:pPr>
            <w:r w:rsidRPr="0093650E">
              <w:t xml:space="preserve">You will need to collate </w:t>
            </w:r>
            <w:r w:rsidR="00186A91" w:rsidRPr="0093650E">
              <w:t xml:space="preserve">your evidence from </w:t>
            </w:r>
            <w:r w:rsidR="003F3ABA" w:rsidRPr="0093650E">
              <w:t>A</w:t>
            </w:r>
            <w:r w:rsidR="00186A91" w:rsidRPr="0093650E">
              <w:t>ssignment 2</w:t>
            </w:r>
            <w:r w:rsidRPr="0093650E">
              <w:t xml:space="preserve">. You should then review and reflect on the activities that </w:t>
            </w:r>
            <w:r w:rsidR="00D23170" w:rsidRPr="0093650E">
              <w:t xml:space="preserve">you </w:t>
            </w:r>
            <w:r w:rsidRPr="0093650E">
              <w:t xml:space="preserve">completed </w:t>
            </w:r>
            <w:r w:rsidR="00A8116C">
              <w:t xml:space="preserve">and behaviours that you showed </w:t>
            </w:r>
            <w:r w:rsidR="00186A91" w:rsidRPr="0093650E">
              <w:t xml:space="preserve">when </w:t>
            </w:r>
            <w:r w:rsidR="003F3ABA" w:rsidRPr="0093650E">
              <w:t xml:space="preserve">setting-up and </w:t>
            </w:r>
            <w:r w:rsidR="00186A91" w:rsidRPr="0093650E">
              <w:t>using secondary machining processes to produce a component</w:t>
            </w:r>
            <w:r w:rsidR="00D23170" w:rsidRPr="0093650E">
              <w:t>.</w:t>
            </w:r>
          </w:p>
          <w:p w14:paraId="17943F40" w14:textId="77777777" w:rsidR="00426F9F" w:rsidRPr="0093650E" w:rsidRDefault="00426F9F" w:rsidP="00426F9F">
            <w:pPr>
              <w:spacing w:before="60" w:after="60"/>
              <w:ind w:left="12"/>
            </w:pPr>
          </w:p>
          <w:p w14:paraId="17943F41" w14:textId="77777777" w:rsidR="00FE370B" w:rsidRPr="0093650E" w:rsidRDefault="00FE370B" w:rsidP="0093650E">
            <w:pPr>
              <w:spacing w:before="60" w:after="60"/>
              <w:ind w:left="12"/>
              <w:rPr>
                <w:b/>
              </w:rPr>
            </w:pPr>
            <w:r w:rsidRPr="0093650E">
              <w:rPr>
                <w:b/>
              </w:rPr>
              <w:t>You will then:</w:t>
            </w:r>
          </w:p>
          <w:p w14:paraId="17943F42" w14:textId="77777777" w:rsidR="000F2B96" w:rsidRPr="0093650E" w:rsidRDefault="00FE370B" w:rsidP="0093650E">
            <w:pPr>
              <w:spacing w:before="60" w:after="60"/>
              <w:ind w:left="12"/>
            </w:pPr>
            <w:r w:rsidRPr="0093650E">
              <w:t xml:space="preserve">Prepare a report that </w:t>
            </w:r>
            <w:r w:rsidR="00E41812" w:rsidRPr="0093650E">
              <w:t xml:space="preserve">evaluates </w:t>
            </w:r>
            <w:r w:rsidRPr="0093650E">
              <w:t>the lessons learnt from</w:t>
            </w:r>
            <w:r w:rsidR="00186A91" w:rsidRPr="0093650E">
              <w:t xml:space="preserve"> using secondary machining processes</w:t>
            </w:r>
            <w:r w:rsidR="000F2B96" w:rsidRPr="0093650E">
              <w:t xml:space="preserve"> - </w:t>
            </w:r>
            <w:r w:rsidR="00D23170" w:rsidRPr="0093650E">
              <w:t>include</w:t>
            </w:r>
            <w:r w:rsidR="000F2B96" w:rsidRPr="0093650E">
              <w:t>:</w:t>
            </w:r>
          </w:p>
          <w:p w14:paraId="17943F43" w14:textId="77777777" w:rsidR="000F2B96" w:rsidRPr="0093650E" w:rsidRDefault="00D23170" w:rsidP="0093650E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szCs w:val="20"/>
              </w:rPr>
            </w:pPr>
            <w:r w:rsidRPr="0093650E">
              <w:rPr>
                <w:szCs w:val="20"/>
              </w:rPr>
              <w:t>what went well</w:t>
            </w:r>
            <w:r w:rsidR="000F2B96" w:rsidRPr="0093650E">
              <w:rPr>
                <w:szCs w:val="20"/>
              </w:rPr>
              <w:t>;</w:t>
            </w:r>
          </w:p>
          <w:p w14:paraId="17943F44" w14:textId="77777777" w:rsidR="000F2B96" w:rsidRPr="0093650E" w:rsidRDefault="000F2B96" w:rsidP="00A8116C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szCs w:val="20"/>
              </w:rPr>
            </w:pPr>
            <w:r w:rsidRPr="0093650E">
              <w:rPr>
                <w:szCs w:val="20"/>
              </w:rPr>
              <w:t>what could be done differently next time; and</w:t>
            </w:r>
          </w:p>
          <w:p w14:paraId="17943F45" w14:textId="77777777" w:rsidR="000F2B96" w:rsidRPr="00426F9F" w:rsidRDefault="000F2B96" w:rsidP="0093650E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szCs w:val="20"/>
              </w:rPr>
            </w:pPr>
            <w:r w:rsidRPr="0093650E">
              <w:rPr>
                <w:szCs w:val="20"/>
              </w:rPr>
              <w:t xml:space="preserve">a conclusion on </w:t>
            </w:r>
            <w:r w:rsidR="00D23170" w:rsidRPr="0093650E">
              <w:rPr>
                <w:szCs w:val="20"/>
              </w:rPr>
              <w:t>what improvements could be made</w:t>
            </w:r>
            <w:r w:rsidRPr="0093650E">
              <w:rPr>
                <w:szCs w:val="20"/>
              </w:rPr>
              <w:t xml:space="preserve">, with particular reference to </w:t>
            </w:r>
            <w:r w:rsidRPr="0093650E">
              <w:rPr>
                <w:rFonts w:cs="Verdana"/>
                <w:szCs w:val="20"/>
              </w:rPr>
              <w:t>the set up and use of traditional secondary machining processes and to relevant behaviours</w:t>
            </w:r>
          </w:p>
          <w:p w14:paraId="17943F47" w14:textId="77777777" w:rsidR="00FE370B" w:rsidRPr="0093650E" w:rsidRDefault="00D23170" w:rsidP="0093650E">
            <w:r w:rsidRPr="0093650E">
              <w:t>Your report should cover</w:t>
            </w:r>
            <w:r w:rsidR="000F2B96" w:rsidRPr="0093650E">
              <w:t xml:space="preserve"> the following</w:t>
            </w:r>
            <w:r w:rsidRPr="0093650E">
              <w:t>:</w:t>
            </w:r>
          </w:p>
          <w:p w14:paraId="17943F48" w14:textId="77777777" w:rsidR="00E41812" w:rsidRPr="0093650E" w:rsidRDefault="00E41812" w:rsidP="0093650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Cs w:val="20"/>
              </w:rPr>
            </w:pPr>
            <w:r w:rsidRPr="0093650E">
              <w:rPr>
                <w:szCs w:val="20"/>
              </w:rPr>
              <w:t>The actions taken to manage hea</w:t>
            </w:r>
            <w:r w:rsidR="00A8116C">
              <w:rPr>
                <w:szCs w:val="20"/>
              </w:rPr>
              <w:t>lth and safety in the workplace</w:t>
            </w:r>
            <w:r w:rsidR="00DF17FB" w:rsidRPr="0093650E">
              <w:rPr>
                <w:szCs w:val="20"/>
              </w:rPr>
              <w:t xml:space="preserve"> with an analysis of how successfully they </w:t>
            </w:r>
            <w:r w:rsidR="00DF17FB" w:rsidRPr="0093650E">
              <w:rPr>
                <w:szCs w:val="20"/>
              </w:rPr>
              <w:lastRenderedPageBreak/>
              <w:t>were applied</w:t>
            </w:r>
            <w:r w:rsidR="00A8116C">
              <w:rPr>
                <w:szCs w:val="20"/>
              </w:rPr>
              <w:t>;</w:t>
            </w:r>
            <w:r w:rsidRPr="0093650E">
              <w:rPr>
                <w:szCs w:val="20"/>
              </w:rPr>
              <w:t xml:space="preserve"> for example</w:t>
            </w:r>
            <w:r w:rsidR="00A8116C">
              <w:rPr>
                <w:szCs w:val="20"/>
              </w:rPr>
              <w:t>,</w:t>
            </w:r>
            <w:r w:rsidRPr="0093650E">
              <w:rPr>
                <w:szCs w:val="20"/>
              </w:rPr>
              <w:t xml:space="preserve"> what personal protective equipment was used and whether any unforeseen issues occurred</w:t>
            </w:r>
            <w:r w:rsidR="00DF17FB">
              <w:rPr>
                <w:szCs w:val="20"/>
              </w:rPr>
              <w:t xml:space="preserve"> and were dealt with</w:t>
            </w:r>
          </w:p>
          <w:p w14:paraId="17943F49" w14:textId="77777777" w:rsidR="00E41812" w:rsidRPr="0093650E" w:rsidRDefault="00E41812" w:rsidP="0093650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Cs w:val="20"/>
              </w:rPr>
            </w:pPr>
            <w:r w:rsidRPr="0093650E">
              <w:rPr>
                <w:szCs w:val="20"/>
              </w:rPr>
              <w:t xml:space="preserve">The traditional secondary machining skills that </w:t>
            </w:r>
            <w:r w:rsidR="00A8116C">
              <w:rPr>
                <w:szCs w:val="20"/>
              </w:rPr>
              <w:t>were used</w:t>
            </w:r>
            <w:r w:rsidR="00DF17FB" w:rsidRPr="0093650E">
              <w:rPr>
                <w:szCs w:val="20"/>
              </w:rPr>
              <w:t xml:space="preserve"> with an analysis of how successfully they were applied</w:t>
            </w:r>
            <w:r w:rsidR="00A8116C">
              <w:rPr>
                <w:szCs w:val="20"/>
              </w:rPr>
              <w:t>;</w:t>
            </w:r>
            <w:r w:rsidRPr="0093650E">
              <w:rPr>
                <w:szCs w:val="20"/>
              </w:rPr>
              <w:t xml:space="preserve"> for example</w:t>
            </w:r>
            <w:r w:rsidR="00A8116C">
              <w:rPr>
                <w:szCs w:val="20"/>
              </w:rPr>
              <w:t>,</w:t>
            </w:r>
            <w:r w:rsidRPr="0093650E">
              <w:rPr>
                <w:szCs w:val="20"/>
              </w:rPr>
              <w:t xml:space="preserve"> how the intended surface </w:t>
            </w:r>
            <w:r w:rsidR="00D23170" w:rsidRPr="0093650E">
              <w:rPr>
                <w:szCs w:val="20"/>
              </w:rPr>
              <w:t>texture/</w:t>
            </w:r>
            <w:r w:rsidRPr="0093650E">
              <w:rPr>
                <w:szCs w:val="20"/>
              </w:rPr>
              <w:t>dimens</w:t>
            </w:r>
            <w:r w:rsidR="00D23170" w:rsidRPr="0093650E">
              <w:rPr>
                <w:szCs w:val="20"/>
              </w:rPr>
              <w:t xml:space="preserve">ional accuracy was achieved, </w:t>
            </w:r>
            <w:r w:rsidRPr="0093650E">
              <w:rPr>
                <w:szCs w:val="20"/>
              </w:rPr>
              <w:t>how holes were</w:t>
            </w:r>
            <w:r w:rsidR="00D23170" w:rsidRPr="0093650E">
              <w:rPr>
                <w:szCs w:val="20"/>
              </w:rPr>
              <w:t xml:space="preserve"> </w:t>
            </w:r>
            <w:r w:rsidRPr="0093650E">
              <w:rPr>
                <w:szCs w:val="20"/>
              </w:rPr>
              <w:t>centred accurately</w:t>
            </w:r>
            <w:r w:rsidR="000F2B96" w:rsidRPr="0093650E">
              <w:rPr>
                <w:szCs w:val="20"/>
              </w:rPr>
              <w:t xml:space="preserve"> and how</w:t>
            </w:r>
            <w:r w:rsidRPr="0093650E">
              <w:rPr>
                <w:szCs w:val="20"/>
              </w:rPr>
              <w:t xml:space="preserve"> set-up and use of the machining processes and equipment </w:t>
            </w:r>
            <w:r w:rsidR="000F2B96" w:rsidRPr="0093650E">
              <w:rPr>
                <w:szCs w:val="20"/>
              </w:rPr>
              <w:t xml:space="preserve">could be altered </w:t>
            </w:r>
            <w:r w:rsidRPr="0093650E">
              <w:rPr>
                <w:szCs w:val="20"/>
              </w:rPr>
              <w:t>to make manufacture of the</w:t>
            </w:r>
            <w:r w:rsidR="00D23170" w:rsidRPr="0093650E">
              <w:rPr>
                <w:szCs w:val="20"/>
              </w:rPr>
              <w:t xml:space="preserve"> </w:t>
            </w:r>
            <w:r w:rsidRPr="0093650E">
              <w:rPr>
                <w:rFonts w:cs="Verdana"/>
                <w:color w:val="000000"/>
                <w:szCs w:val="20"/>
              </w:rPr>
              <w:t>components more efficie</w:t>
            </w:r>
            <w:r w:rsidRPr="0093650E">
              <w:rPr>
                <w:szCs w:val="20"/>
              </w:rPr>
              <w:t>nt, accurate and/or sustainable</w:t>
            </w:r>
          </w:p>
          <w:p w14:paraId="17943F4A" w14:textId="77777777" w:rsidR="00E41812" w:rsidRPr="0093650E" w:rsidRDefault="00E41812" w:rsidP="0093650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Cs w:val="20"/>
              </w:rPr>
            </w:pPr>
            <w:r w:rsidRPr="0093650E">
              <w:rPr>
                <w:rFonts w:eastAsia="SymbolMT" w:cs="SymbolMT"/>
                <w:szCs w:val="20"/>
              </w:rPr>
              <w:t xml:space="preserve">The </w:t>
            </w:r>
            <w:r w:rsidRPr="0093650E">
              <w:rPr>
                <w:szCs w:val="20"/>
              </w:rPr>
              <w:t xml:space="preserve">general engineering skills </w:t>
            </w:r>
            <w:r w:rsidR="000F2B96" w:rsidRPr="0093650E">
              <w:rPr>
                <w:szCs w:val="20"/>
              </w:rPr>
              <w:t xml:space="preserve">that </w:t>
            </w:r>
            <w:r w:rsidR="00A8116C">
              <w:rPr>
                <w:szCs w:val="20"/>
              </w:rPr>
              <w:t>were used</w:t>
            </w:r>
            <w:r w:rsidR="00DF17FB" w:rsidRPr="0093650E">
              <w:rPr>
                <w:szCs w:val="20"/>
              </w:rPr>
              <w:t xml:space="preserve"> with an analysis of how successfully they were applied</w:t>
            </w:r>
            <w:r w:rsidR="00A8116C">
              <w:rPr>
                <w:szCs w:val="20"/>
              </w:rPr>
              <w:t>;</w:t>
            </w:r>
            <w:r w:rsidRPr="0093650E">
              <w:rPr>
                <w:szCs w:val="20"/>
              </w:rPr>
              <w:t xml:space="preserve"> for example</w:t>
            </w:r>
            <w:r w:rsidR="00A8116C">
              <w:rPr>
                <w:szCs w:val="20"/>
              </w:rPr>
              <w:t>,</w:t>
            </w:r>
            <w:r w:rsidR="000F2B96" w:rsidRPr="0093650E">
              <w:rPr>
                <w:szCs w:val="20"/>
              </w:rPr>
              <w:t xml:space="preserve"> </w:t>
            </w:r>
            <w:r w:rsidRPr="0093650E">
              <w:rPr>
                <w:szCs w:val="20"/>
              </w:rPr>
              <w:t>interpreting drawings and recognising technical parts of machines</w:t>
            </w:r>
          </w:p>
          <w:p w14:paraId="17943F4C" w14:textId="52FFF8DC" w:rsidR="004F1802" w:rsidRPr="00814015" w:rsidRDefault="000F2B96" w:rsidP="000F2B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Cs w:val="20"/>
              </w:rPr>
            </w:pPr>
            <w:r w:rsidRPr="0093650E">
              <w:rPr>
                <w:rFonts w:eastAsia="SymbolMT" w:cs="SymbolMT"/>
                <w:szCs w:val="20"/>
              </w:rPr>
              <w:t xml:space="preserve">The relevant </w:t>
            </w:r>
            <w:r w:rsidRPr="0093650E">
              <w:rPr>
                <w:szCs w:val="20"/>
              </w:rPr>
              <w:t>behaviours that were used, with an analysis of how successfully they were applied</w:t>
            </w:r>
            <w:r w:rsidR="00A8116C">
              <w:rPr>
                <w:szCs w:val="20"/>
              </w:rPr>
              <w:t>;</w:t>
            </w:r>
            <w:r w:rsidRPr="0093650E">
              <w:rPr>
                <w:szCs w:val="20"/>
              </w:rPr>
              <w:t xml:space="preserve"> for example</w:t>
            </w:r>
            <w:r w:rsidR="0000105E">
              <w:rPr>
                <w:szCs w:val="20"/>
              </w:rPr>
              <w:t>, good communication and problem solving resulting</w:t>
            </w:r>
            <w:r w:rsidRPr="0093650E">
              <w:rPr>
                <w:szCs w:val="20"/>
              </w:rPr>
              <w:t xml:space="preserve"> in a worn tool being replaced and an activity running smoothly, or how taking initiative and </w:t>
            </w:r>
            <w:r w:rsidRPr="0093650E">
              <w:rPr>
                <w:rFonts w:cs="Verdana"/>
                <w:color w:val="000000"/>
                <w:szCs w:val="20"/>
              </w:rPr>
              <w:t>responsibility for their own</w:t>
            </w:r>
            <w:r w:rsidR="00DF17FB">
              <w:rPr>
                <w:rFonts w:cs="Verdana"/>
                <w:color w:val="000000"/>
                <w:szCs w:val="20"/>
              </w:rPr>
              <w:t xml:space="preserve"> actions, such as when </w:t>
            </w:r>
            <w:r w:rsidRPr="0093650E">
              <w:rPr>
                <w:rFonts w:cs="Verdana"/>
                <w:color w:val="000000"/>
                <w:szCs w:val="20"/>
              </w:rPr>
              <w:t>setting and adjusting the machines,</w:t>
            </w:r>
            <w:r w:rsidRPr="0093650E">
              <w:rPr>
                <w:szCs w:val="20"/>
              </w:rPr>
              <w:t xml:space="preserve"> shows </w:t>
            </w:r>
            <w:r w:rsidR="0000105E">
              <w:rPr>
                <w:szCs w:val="20"/>
              </w:rPr>
              <w:t xml:space="preserve">independence and </w:t>
            </w:r>
            <w:r w:rsidRPr="0093650E">
              <w:rPr>
                <w:szCs w:val="20"/>
              </w:rPr>
              <w:t>professionalism.</w:t>
            </w:r>
          </w:p>
        </w:tc>
      </w:tr>
      <w:tr w:rsidR="00CB5C4B" w14:paraId="17943F50" w14:textId="77777777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943F4E" w14:textId="77777777" w:rsidR="00CB5C4B" w:rsidRDefault="00CB5C4B">
            <w:r>
              <w:rPr>
                <w:b/>
              </w:rPr>
              <w:lastRenderedPageBreak/>
              <w:t xml:space="preserve">Checklist of evidence required </w:t>
            </w:r>
          </w:p>
        </w:tc>
        <w:tc>
          <w:tcPr>
            <w:tcW w:w="6327" w:type="dxa"/>
            <w:tcBorders>
              <w:left w:val="single" w:sz="4" w:space="0" w:color="000000"/>
              <w:bottom w:val="single" w:sz="4" w:space="0" w:color="000000"/>
            </w:tcBorders>
          </w:tcPr>
          <w:p w14:paraId="17943F4F" w14:textId="77777777" w:rsidR="00CB5C4B" w:rsidRPr="00C2303D" w:rsidRDefault="00B509F3" w:rsidP="0093650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GB"/>
              </w:rPr>
            </w:pPr>
            <w:r>
              <w:t xml:space="preserve">A </w:t>
            </w:r>
            <w:r w:rsidR="0093650E">
              <w:t>report attached to the portfolio from Assignment 2 that reviews the processes used and reflects on own performance.</w:t>
            </w:r>
          </w:p>
        </w:tc>
      </w:tr>
      <w:tr w:rsidR="00CB5C4B" w14:paraId="17943F52" w14:textId="77777777">
        <w:tc>
          <w:tcPr>
            <w:tcW w:w="9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943F51" w14:textId="77777777" w:rsidR="00CB5C4B" w:rsidRDefault="00CB5C4B">
            <w:r>
              <w:rPr>
                <w:b/>
              </w:rPr>
              <w:t>Criteria covered by this task:</w:t>
            </w:r>
          </w:p>
        </w:tc>
      </w:tr>
      <w:tr w:rsidR="00CB5C4B" w14:paraId="17943F55" w14:textId="77777777" w:rsidTr="00C47789">
        <w:trPr>
          <w:trHeight w:val="4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7943F53" w14:textId="77777777" w:rsidR="00CB5C4B" w:rsidRDefault="00CB5C4B">
            <w:r>
              <w:t>Unit/Criteria reference</w:t>
            </w:r>
          </w:p>
        </w:tc>
        <w:tc>
          <w:tcPr>
            <w:tcW w:w="74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14:paraId="17943F54" w14:textId="77777777" w:rsidR="00CB5C4B" w:rsidRDefault="00CB5C4B" w:rsidP="008829DA">
            <w:r>
              <w:t>To achieve the criteria you must show that you are able to:</w:t>
            </w:r>
          </w:p>
        </w:tc>
      </w:tr>
      <w:tr w:rsidR="00CB5C4B" w:rsidRPr="00023936" w14:paraId="17943F58" w14:textId="77777777" w:rsidTr="00BA3A10">
        <w:tc>
          <w:tcPr>
            <w:tcW w:w="1753" w:type="dxa"/>
            <w:tcBorders>
              <w:left w:val="single" w:sz="4" w:space="0" w:color="000000"/>
              <w:right w:val="single" w:sz="4" w:space="0" w:color="auto"/>
            </w:tcBorders>
          </w:tcPr>
          <w:p w14:paraId="17943F56" w14:textId="77777777" w:rsidR="00CB5C4B" w:rsidRPr="00023936" w:rsidRDefault="004F1802" w:rsidP="008F1A27">
            <w:pPr>
              <w:spacing w:before="60" w:after="60"/>
              <w:rPr>
                <w:rFonts w:cs="Arial"/>
              </w:rPr>
            </w:pPr>
            <w:r w:rsidRPr="00023936">
              <w:rPr>
                <w:rFonts w:cs="Arial"/>
              </w:rPr>
              <w:t>41/</w:t>
            </w:r>
            <w:r w:rsidR="008F1A27" w:rsidRPr="00023936">
              <w:rPr>
                <w:rFonts w:cs="Arial"/>
              </w:rPr>
              <w:t>D.D3</w:t>
            </w:r>
          </w:p>
        </w:tc>
        <w:tc>
          <w:tcPr>
            <w:tcW w:w="7454" w:type="dxa"/>
            <w:gridSpan w:val="2"/>
            <w:tcBorders>
              <w:left w:val="single" w:sz="4" w:space="0" w:color="auto"/>
            </w:tcBorders>
            <w:vAlign w:val="center"/>
          </w:tcPr>
          <w:p w14:paraId="17943F57" w14:textId="77777777" w:rsidR="00CB5C4B" w:rsidRPr="00023936" w:rsidRDefault="008F1A27" w:rsidP="00C40612">
            <w:pPr>
              <w:autoSpaceDE w:val="0"/>
              <w:autoSpaceDN w:val="0"/>
              <w:adjustRightInd w:val="0"/>
            </w:pPr>
            <w:r w:rsidRPr="00023936">
              <w:t>Demonstrate consistently good technical understanding and analysis of traditional secondary machining processes, including the application of relevant behaviours and general engineering skills to a professional standard</w:t>
            </w:r>
          </w:p>
        </w:tc>
      </w:tr>
      <w:tr w:rsidR="00731772" w:rsidRPr="00023936" w14:paraId="17943F5B" w14:textId="77777777" w:rsidTr="00BA3A10"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943F59" w14:textId="77777777" w:rsidR="00731772" w:rsidRPr="00023936" w:rsidRDefault="00731772" w:rsidP="008F1A27">
            <w:pPr>
              <w:spacing w:before="60" w:after="60"/>
              <w:rPr>
                <w:rFonts w:cs="Arial"/>
              </w:rPr>
            </w:pPr>
            <w:r w:rsidRPr="00023936">
              <w:rPr>
                <w:rFonts w:cs="Arial"/>
              </w:rPr>
              <w:t>41/</w:t>
            </w:r>
            <w:r w:rsidR="008F1A27" w:rsidRPr="00023936">
              <w:rPr>
                <w:rFonts w:cs="Arial"/>
              </w:rPr>
              <w:t>D</w:t>
            </w:r>
            <w:r w:rsidRPr="00023936">
              <w:rPr>
                <w:rFonts w:cs="Arial"/>
              </w:rPr>
              <w:t>.M</w:t>
            </w:r>
            <w:r w:rsidR="008F1A27" w:rsidRPr="00023936">
              <w:rPr>
                <w:rFonts w:cs="Arial"/>
              </w:rPr>
              <w:t>4</w:t>
            </w:r>
          </w:p>
        </w:tc>
        <w:tc>
          <w:tcPr>
            <w:tcW w:w="7454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7943F5A" w14:textId="77777777" w:rsidR="00731772" w:rsidRPr="00EA7529" w:rsidRDefault="008F1A27" w:rsidP="004F1802">
            <w:pPr>
              <w:pStyle w:val="Default"/>
              <w:rPr>
                <w:sz w:val="20"/>
                <w:szCs w:val="20"/>
              </w:rPr>
            </w:pPr>
            <w:r w:rsidRPr="00EA7529">
              <w:rPr>
                <w:sz w:val="20"/>
                <w:szCs w:val="20"/>
              </w:rPr>
              <w:t>Recommend improvements to the set up and use of traditional secondary machining processes and to the relevant behaviours applied</w:t>
            </w:r>
          </w:p>
        </w:tc>
      </w:tr>
      <w:tr w:rsidR="00CB5C4B" w:rsidRPr="00023936" w14:paraId="17943F5E" w14:textId="77777777" w:rsidTr="00BA3A10"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943F5C" w14:textId="77777777" w:rsidR="00CB5C4B" w:rsidRPr="00023936" w:rsidRDefault="004F1802" w:rsidP="008F1A27">
            <w:pPr>
              <w:spacing w:before="60" w:after="60"/>
              <w:rPr>
                <w:rFonts w:cs="Arial"/>
              </w:rPr>
            </w:pPr>
            <w:r w:rsidRPr="00023936">
              <w:rPr>
                <w:rFonts w:cs="Arial"/>
              </w:rPr>
              <w:t>41/</w:t>
            </w:r>
            <w:r w:rsidR="008F1A27" w:rsidRPr="00023936">
              <w:rPr>
                <w:rFonts w:cs="Arial"/>
              </w:rPr>
              <w:t>D</w:t>
            </w:r>
            <w:r w:rsidR="00CB5C4B" w:rsidRPr="00023936">
              <w:rPr>
                <w:rFonts w:cs="Arial"/>
              </w:rPr>
              <w:t>.</w:t>
            </w:r>
            <w:r w:rsidR="00731772" w:rsidRPr="00023936">
              <w:rPr>
                <w:rFonts w:cs="Arial"/>
              </w:rPr>
              <w:t>P</w:t>
            </w:r>
            <w:r w:rsidR="008F1A27" w:rsidRPr="00023936">
              <w:rPr>
                <w:rFonts w:cs="Arial"/>
              </w:rPr>
              <w:t>5</w:t>
            </w:r>
          </w:p>
        </w:tc>
        <w:tc>
          <w:tcPr>
            <w:tcW w:w="7454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7943F5D" w14:textId="77777777" w:rsidR="00CB5C4B" w:rsidRPr="00EA7529" w:rsidRDefault="00EA7529" w:rsidP="00EA7529">
            <w:pPr>
              <w:autoSpaceDE w:val="0"/>
              <w:autoSpaceDN w:val="0"/>
              <w:adjustRightInd w:val="0"/>
            </w:pPr>
            <w:r w:rsidRPr="00EA7529">
              <w:t>Explain how health and safety, traditional secondary machining, and general engineering skills were applied effectively during the manufacturing</w:t>
            </w:r>
            <w:r>
              <w:t xml:space="preserve"> process</w:t>
            </w:r>
          </w:p>
        </w:tc>
      </w:tr>
      <w:tr w:rsidR="00CB5C4B" w:rsidRPr="00023936" w14:paraId="17943F61" w14:textId="77777777" w:rsidTr="008F04B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943F5F" w14:textId="77777777" w:rsidR="00CB5C4B" w:rsidRPr="00023936" w:rsidRDefault="00731772" w:rsidP="008F1A27">
            <w:pPr>
              <w:spacing w:before="60" w:after="60"/>
              <w:rPr>
                <w:rFonts w:cs="Arial"/>
              </w:rPr>
            </w:pPr>
            <w:r w:rsidRPr="00023936">
              <w:rPr>
                <w:rFonts w:cs="Arial"/>
              </w:rPr>
              <w:t>41/</w:t>
            </w:r>
            <w:r w:rsidR="008F1A27" w:rsidRPr="00023936">
              <w:rPr>
                <w:rFonts w:cs="Arial"/>
              </w:rPr>
              <w:t>D.P6</w:t>
            </w:r>
          </w:p>
        </w:tc>
        <w:tc>
          <w:tcPr>
            <w:tcW w:w="74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943F60" w14:textId="77777777" w:rsidR="00CB5C4B" w:rsidRPr="00023936" w:rsidRDefault="008F1A27" w:rsidP="00EA7529">
            <w:r w:rsidRPr="00023936">
              <w:t>Explain how relevant behaviours were applied effectively during the manufacturing process</w:t>
            </w:r>
          </w:p>
        </w:tc>
      </w:tr>
      <w:tr w:rsidR="00CB5C4B" w14:paraId="17943F64" w14:textId="77777777" w:rsidTr="00813879"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943F62" w14:textId="77777777" w:rsidR="00CB5C4B" w:rsidRDefault="00CB5C4B" w:rsidP="00B212CC"/>
        </w:tc>
        <w:tc>
          <w:tcPr>
            <w:tcW w:w="7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943F63" w14:textId="77777777" w:rsidR="00CB5C4B" w:rsidRDefault="00CB5C4B" w:rsidP="00B212CC">
            <w:pPr>
              <w:jc w:val="center"/>
            </w:pPr>
          </w:p>
        </w:tc>
      </w:tr>
      <w:tr w:rsidR="00CB5C4B" w14:paraId="17943F70" w14:textId="77777777">
        <w:trPr>
          <w:trHeight w:val="60"/>
        </w:trPr>
        <w:tc>
          <w:tcPr>
            <w:tcW w:w="2880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7943F65" w14:textId="77777777" w:rsidR="00CB5C4B" w:rsidRDefault="00CB5C4B">
            <w:r>
              <w:rPr>
                <w:b/>
              </w:rPr>
              <w:t>Sources of information to support you with this Assignment</w:t>
            </w:r>
          </w:p>
        </w:tc>
        <w:tc>
          <w:tcPr>
            <w:tcW w:w="6327" w:type="dxa"/>
            <w:tcBorders>
              <w:bottom w:val="single" w:sz="4" w:space="0" w:color="000000"/>
            </w:tcBorders>
          </w:tcPr>
          <w:p w14:paraId="17943F6B" w14:textId="77777777" w:rsidR="00E214E9" w:rsidRPr="00023936" w:rsidRDefault="00CB5C4B" w:rsidP="00E214E9">
            <w:pPr>
              <w:widowControl w:val="0"/>
            </w:pPr>
            <w:r w:rsidRPr="00023936">
              <w:t>Websites</w:t>
            </w:r>
          </w:p>
          <w:p w14:paraId="17943F6C" w14:textId="77777777" w:rsidR="00E214E9" w:rsidRPr="00023936" w:rsidRDefault="00E214E9" w:rsidP="00E214E9">
            <w:pPr>
              <w:autoSpaceDE w:val="0"/>
              <w:autoSpaceDN w:val="0"/>
              <w:adjustRightInd w:val="0"/>
            </w:pPr>
            <w:r w:rsidRPr="00023936">
              <w:t>www.hse.gov.uk/work-equipment-machinery/standard.htm</w:t>
            </w:r>
          </w:p>
          <w:p w14:paraId="17943F6F" w14:textId="77777777" w:rsidR="00CB5C4B" w:rsidRPr="00023936" w:rsidRDefault="00CB5C4B" w:rsidP="00814015">
            <w:pPr>
              <w:rPr>
                <w:highlight w:val="yellow"/>
              </w:rPr>
            </w:pPr>
          </w:p>
        </w:tc>
      </w:tr>
      <w:tr w:rsidR="00CB5C4B" w14:paraId="17943F73" w14:textId="77777777">
        <w:trPr>
          <w:trHeight w:val="60"/>
        </w:trPr>
        <w:tc>
          <w:tcPr>
            <w:tcW w:w="2880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7943F71" w14:textId="77777777" w:rsidR="00CB5C4B" w:rsidRDefault="00CB5C4B">
            <w:r>
              <w:rPr>
                <w:b/>
              </w:rPr>
              <w:t>Other assessment materials attached to this Assignment Brief</w:t>
            </w:r>
          </w:p>
        </w:tc>
        <w:tc>
          <w:tcPr>
            <w:tcW w:w="6327" w:type="dxa"/>
            <w:tcBorders>
              <w:bottom w:val="single" w:sz="4" w:space="0" w:color="000000"/>
            </w:tcBorders>
          </w:tcPr>
          <w:p w14:paraId="17943F72" w14:textId="77777777" w:rsidR="00CB5C4B" w:rsidRPr="00023936" w:rsidRDefault="00CB5C4B" w:rsidP="002472EC">
            <w:pPr>
              <w:widowControl w:val="0"/>
            </w:pPr>
          </w:p>
        </w:tc>
      </w:tr>
    </w:tbl>
    <w:p w14:paraId="17943F77" w14:textId="77777777" w:rsidR="002D7DC4" w:rsidRDefault="002D7DC4"/>
    <w:sectPr w:rsidR="002D7DC4" w:rsidSect="005824F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771C7" w14:textId="77777777" w:rsidR="00F115B2" w:rsidRDefault="00F115B2">
      <w:r>
        <w:separator/>
      </w:r>
    </w:p>
  </w:endnote>
  <w:endnote w:type="continuationSeparator" w:id="0">
    <w:p w14:paraId="2DAD231B" w14:textId="77777777" w:rsidR="00F115B2" w:rsidRDefault="00F1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ist521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43F7E" w14:textId="59AD1905" w:rsidR="00CB0E5B" w:rsidRDefault="00027680">
    <w:pPr>
      <w:tabs>
        <w:tab w:val="center" w:pos="4153"/>
        <w:tab w:val="right" w:pos="8306"/>
      </w:tabs>
      <w:jc w:val="right"/>
    </w:pPr>
    <w:r>
      <w:fldChar w:fldCharType="begin"/>
    </w:r>
    <w:r w:rsidR="00C201B8">
      <w:instrText>PAGE</w:instrText>
    </w:r>
    <w:r>
      <w:fldChar w:fldCharType="separate"/>
    </w:r>
    <w:r w:rsidR="004909E4">
      <w:rPr>
        <w:noProof/>
      </w:rPr>
      <w:t>2</w:t>
    </w:r>
    <w:r>
      <w:fldChar w:fldCharType="end"/>
    </w:r>
  </w:p>
  <w:p w14:paraId="17943F7F" w14:textId="77777777" w:rsidR="00D00396" w:rsidRDefault="00D00396" w:rsidP="00E27C57">
    <w:pPr>
      <w:pStyle w:val="NormalWeb"/>
      <w:spacing w:before="0" w:beforeAutospacing="0" w:after="0" w:afterAutospacing="0"/>
      <w:rPr>
        <w:rFonts w:ascii="Verdana" w:hAnsi="Verdana"/>
        <w:color w:val="000000"/>
        <w:sz w:val="16"/>
        <w:szCs w:val="16"/>
      </w:rPr>
    </w:pPr>
    <w:r>
      <w:rPr>
        <w:rFonts w:ascii="Verdana" w:hAnsi="Verdana"/>
        <w:color w:val="000000"/>
        <w:sz w:val="16"/>
        <w:szCs w:val="16"/>
      </w:rPr>
      <w:t>BTEC Assignment Brief v1.0</w:t>
    </w:r>
  </w:p>
  <w:p w14:paraId="17943F80" w14:textId="77777777" w:rsidR="00E27C57" w:rsidRDefault="00E27C57" w:rsidP="00D00396">
    <w:pPr>
      <w:pStyle w:val="NormalWeb"/>
      <w:spacing w:before="0" w:beforeAutospacing="0" w:after="0" w:afterAutospacing="0"/>
    </w:pPr>
    <w:r>
      <w:rPr>
        <w:rFonts w:ascii="Verdana" w:hAnsi="Verdana"/>
        <w:color w:val="000000"/>
        <w:sz w:val="16"/>
        <w:szCs w:val="16"/>
      </w:rPr>
      <w:t>B</w:t>
    </w:r>
    <w:r w:rsidR="00D00396">
      <w:rPr>
        <w:rFonts w:ascii="Verdana" w:hAnsi="Verdana"/>
        <w:color w:val="000000"/>
        <w:sz w:val="16"/>
        <w:szCs w:val="16"/>
      </w:rPr>
      <w:t xml:space="preserve">TEC Internal Assessment QDAM January 2015 </w:t>
    </w:r>
  </w:p>
  <w:p w14:paraId="17943F81" w14:textId="77777777" w:rsidR="00CB0E5B" w:rsidRDefault="00023936" w:rsidP="00023936">
    <w:pPr>
      <w:spacing w:before="120" w:after="669"/>
      <w:jc w:val="right"/>
    </w:pPr>
    <w:r w:rsidRPr="00943A9D">
      <w:rPr>
        <w:b/>
        <w:noProof/>
        <w:lang w:eastAsia="en-GB"/>
      </w:rPr>
      <w:drawing>
        <wp:inline distT="0" distB="0" distL="0" distR="0" wp14:anchorId="17943F84" wp14:editId="17943F85">
          <wp:extent cx="952500" cy="285750"/>
          <wp:effectExtent l="0" t="0" r="0" b="0"/>
          <wp:docPr id="2" name="Picture 2" descr="Y:\Together Design\Pearson Edexcel PowerPoint amends\Assets\Pearson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Together Design\Pearson Edexcel PowerPoint amends\Assets\Pearson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43F83" w14:textId="77777777" w:rsidR="004100DE" w:rsidRDefault="00023936" w:rsidP="00023936">
    <w:pPr>
      <w:pStyle w:val="Footer"/>
      <w:jc w:val="right"/>
    </w:pPr>
    <w:r w:rsidRPr="00943A9D">
      <w:rPr>
        <w:b/>
        <w:noProof/>
        <w:lang w:eastAsia="en-GB"/>
      </w:rPr>
      <w:drawing>
        <wp:inline distT="0" distB="0" distL="0" distR="0" wp14:anchorId="17943F88" wp14:editId="17943F89">
          <wp:extent cx="952500" cy="285750"/>
          <wp:effectExtent l="0" t="0" r="0" b="0"/>
          <wp:docPr id="1" name="Picture 1" descr="Y:\Together Design\Pearson Edexcel PowerPoint amends\Assets\Pearson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Together Design\Pearson Edexcel PowerPoint amends\Assets\Pearson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3CFA3" w14:textId="77777777" w:rsidR="00F115B2" w:rsidRDefault="00F115B2">
      <w:r>
        <w:separator/>
      </w:r>
    </w:p>
  </w:footnote>
  <w:footnote w:type="continuationSeparator" w:id="0">
    <w:p w14:paraId="6D96AEFA" w14:textId="77777777" w:rsidR="00F115B2" w:rsidRDefault="00F11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43F7C" w14:textId="77777777" w:rsidR="00CB0E5B" w:rsidRDefault="00CB0E5B" w:rsidP="00D00396">
    <w:pPr>
      <w:jc w:val="right"/>
    </w:pPr>
  </w:p>
  <w:p w14:paraId="17943F7D" w14:textId="77777777" w:rsidR="00CB0E5B" w:rsidRDefault="00CB0E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43F82" w14:textId="77777777" w:rsidR="005824F2" w:rsidRDefault="005824F2" w:rsidP="005824F2">
    <w:pPr>
      <w:pStyle w:val="Header"/>
      <w:jc w:val="right"/>
    </w:pPr>
    <w:r w:rsidRPr="005824F2">
      <w:rPr>
        <w:noProof/>
        <w:lang w:eastAsia="en-GB"/>
      </w:rPr>
      <w:drawing>
        <wp:inline distT="0" distB="0" distL="0" distR="0" wp14:anchorId="17943F86" wp14:editId="17943F87">
          <wp:extent cx="914400" cy="277792"/>
          <wp:effectExtent l="19050" t="0" r="0" b="0"/>
          <wp:docPr id="4" name="Picture 1" descr="BTec_Logo-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ec_Logo-Oran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777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618A"/>
    <w:multiLevelType w:val="hybridMultilevel"/>
    <w:tmpl w:val="4E5A4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517B2"/>
    <w:multiLevelType w:val="hybridMultilevel"/>
    <w:tmpl w:val="A4C6DF66"/>
    <w:lvl w:ilvl="0" w:tplc="0809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92" w:hanging="360"/>
      </w:pPr>
    </w:lvl>
    <w:lvl w:ilvl="2" w:tplc="0409001B">
      <w:start w:val="1"/>
      <w:numFmt w:val="lowerRoman"/>
      <w:lvlText w:val="%3."/>
      <w:lvlJc w:val="right"/>
      <w:pPr>
        <w:ind w:left="1812" w:hanging="180"/>
      </w:pPr>
    </w:lvl>
    <w:lvl w:ilvl="3" w:tplc="0409000F">
      <w:start w:val="1"/>
      <w:numFmt w:val="decimal"/>
      <w:lvlText w:val="%4."/>
      <w:lvlJc w:val="left"/>
      <w:pPr>
        <w:ind w:left="2532" w:hanging="360"/>
      </w:pPr>
    </w:lvl>
    <w:lvl w:ilvl="4" w:tplc="04090019">
      <w:start w:val="1"/>
      <w:numFmt w:val="lowerLetter"/>
      <w:lvlText w:val="%5."/>
      <w:lvlJc w:val="left"/>
      <w:pPr>
        <w:ind w:left="3252" w:hanging="360"/>
      </w:pPr>
    </w:lvl>
    <w:lvl w:ilvl="5" w:tplc="0409001B">
      <w:start w:val="1"/>
      <w:numFmt w:val="lowerRoman"/>
      <w:lvlText w:val="%6."/>
      <w:lvlJc w:val="right"/>
      <w:pPr>
        <w:ind w:left="3972" w:hanging="180"/>
      </w:pPr>
    </w:lvl>
    <w:lvl w:ilvl="6" w:tplc="0409000F">
      <w:start w:val="1"/>
      <w:numFmt w:val="decimal"/>
      <w:lvlText w:val="%7."/>
      <w:lvlJc w:val="left"/>
      <w:pPr>
        <w:ind w:left="4692" w:hanging="360"/>
      </w:pPr>
    </w:lvl>
    <w:lvl w:ilvl="7" w:tplc="04090019">
      <w:start w:val="1"/>
      <w:numFmt w:val="lowerLetter"/>
      <w:lvlText w:val="%8."/>
      <w:lvlJc w:val="left"/>
      <w:pPr>
        <w:ind w:left="5412" w:hanging="360"/>
      </w:pPr>
    </w:lvl>
    <w:lvl w:ilvl="8" w:tplc="0409001B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381654E6"/>
    <w:multiLevelType w:val="hybridMultilevel"/>
    <w:tmpl w:val="7CD45D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E7BD4"/>
    <w:multiLevelType w:val="hybridMultilevel"/>
    <w:tmpl w:val="A2A06D16"/>
    <w:lvl w:ilvl="0" w:tplc="08090003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092" w:hanging="360"/>
      </w:pPr>
    </w:lvl>
    <w:lvl w:ilvl="2" w:tplc="0409001B">
      <w:start w:val="1"/>
      <w:numFmt w:val="lowerRoman"/>
      <w:lvlText w:val="%3."/>
      <w:lvlJc w:val="right"/>
      <w:pPr>
        <w:ind w:left="1812" w:hanging="180"/>
      </w:pPr>
    </w:lvl>
    <w:lvl w:ilvl="3" w:tplc="0409000F">
      <w:start w:val="1"/>
      <w:numFmt w:val="decimal"/>
      <w:lvlText w:val="%4."/>
      <w:lvlJc w:val="left"/>
      <w:pPr>
        <w:ind w:left="2532" w:hanging="360"/>
      </w:pPr>
    </w:lvl>
    <w:lvl w:ilvl="4" w:tplc="04090019">
      <w:start w:val="1"/>
      <w:numFmt w:val="lowerLetter"/>
      <w:lvlText w:val="%5."/>
      <w:lvlJc w:val="left"/>
      <w:pPr>
        <w:ind w:left="3252" w:hanging="360"/>
      </w:pPr>
    </w:lvl>
    <w:lvl w:ilvl="5" w:tplc="0409001B">
      <w:start w:val="1"/>
      <w:numFmt w:val="lowerRoman"/>
      <w:lvlText w:val="%6."/>
      <w:lvlJc w:val="right"/>
      <w:pPr>
        <w:ind w:left="3972" w:hanging="180"/>
      </w:pPr>
    </w:lvl>
    <w:lvl w:ilvl="6" w:tplc="0409000F">
      <w:start w:val="1"/>
      <w:numFmt w:val="decimal"/>
      <w:lvlText w:val="%7."/>
      <w:lvlJc w:val="left"/>
      <w:pPr>
        <w:ind w:left="4692" w:hanging="360"/>
      </w:pPr>
    </w:lvl>
    <w:lvl w:ilvl="7" w:tplc="04090019">
      <w:start w:val="1"/>
      <w:numFmt w:val="lowerLetter"/>
      <w:lvlText w:val="%8."/>
      <w:lvlJc w:val="left"/>
      <w:pPr>
        <w:ind w:left="5412" w:hanging="360"/>
      </w:pPr>
    </w:lvl>
    <w:lvl w:ilvl="8" w:tplc="0409001B">
      <w:start w:val="1"/>
      <w:numFmt w:val="lowerRoman"/>
      <w:lvlText w:val="%9."/>
      <w:lvlJc w:val="right"/>
      <w:pPr>
        <w:ind w:left="6132" w:hanging="180"/>
      </w:pPr>
    </w:lvl>
  </w:abstractNum>
  <w:abstractNum w:abstractNumId="4" w15:restartNumberingAfterBreak="0">
    <w:nsid w:val="458B25AC"/>
    <w:multiLevelType w:val="hybridMultilevel"/>
    <w:tmpl w:val="EC729918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DB36B13"/>
    <w:multiLevelType w:val="hybridMultilevel"/>
    <w:tmpl w:val="155E0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97CD1"/>
    <w:multiLevelType w:val="multilevel"/>
    <w:tmpl w:val="7CBE25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6F6B1D75"/>
    <w:multiLevelType w:val="hybridMultilevel"/>
    <w:tmpl w:val="B1221D0A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7BE67516"/>
    <w:multiLevelType w:val="hybridMultilevel"/>
    <w:tmpl w:val="DFC41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5B"/>
    <w:rsid w:val="0000105E"/>
    <w:rsid w:val="00007CCB"/>
    <w:rsid w:val="00023936"/>
    <w:rsid w:val="00027680"/>
    <w:rsid w:val="000575EE"/>
    <w:rsid w:val="00093871"/>
    <w:rsid w:val="000B649C"/>
    <w:rsid w:val="000F2B96"/>
    <w:rsid w:val="00137562"/>
    <w:rsid w:val="00186A91"/>
    <w:rsid w:val="001A067E"/>
    <w:rsid w:val="001A793A"/>
    <w:rsid w:val="0020653E"/>
    <w:rsid w:val="0021356B"/>
    <w:rsid w:val="002472EC"/>
    <w:rsid w:val="00265B34"/>
    <w:rsid w:val="002A5763"/>
    <w:rsid w:val="002C1FC8"/>
    <w:rsid w:val="002D7DC4"/>
    <w:rsid w:val="002E49D2"/>
    <w:rsid w:val="0030377A"/>
    <w:rsid w:val="0034347B"/>
    <w:rsid w:val="0035109D"/>
    <w:rsid w:val="0037023B"/>
    <w:rsid w:val="00384664"/>
    <w:rsid w:val="00393CDC"/>
    <w:rsid w:val="003B68EE"/>
    <w:rsid w:val="003E5790"/>
    <w:rsid w:val="003E757F"/>
    <w:rsid w:val="003F3ABA"/>
    <w:rsid w:val="004100DE"/>
    <w:rsid w:val="00424E9D"/>
    <w:rsid w:val="00426F9F"/>
    <w:rsid w:val="00456F6B"/>
    <w:rsid w:val="004909E4"/>
    <w:rsid w:val="004E6850"/>
    <w:rsid w:val="004F1802"/>
    <w:rsid w:val="004F2830"/>
    <w:rsid w:val="004F5150"/>
    <w:rsid w:val="00512A11"/>
    <w:rsid w:val="005321B2"/>
    <w:rsid w:val="0054044A"/>
    <w:rsid w:val="005670A9"/>
    <w:rsid w:val="005739D9"/>
    <w:rsid w:val="005824F2"/>
    <w:rsid w:val="00584404"/>
    <w:rsid w:val="005D73C4"/>
    <w:rsid w:val="005E01CB"/>
    <w:rsid w:val="00621083"/>
    <w:rsid w:val="006A5C14"/>
    <w:rsid w:val="006B3452"/>
    <w:rsid w:val="006F790A"/>
    <w:rsid w:val="00731772"/>
    <w:rsid w:val="007F6795"/>
    <w:rsid w:val="00812EA0"/>
    <w:rsid w:val="00813879"/>
    <w:rsid w:val="00814015"/>
    <w:rsid w:val="00852178"/>
    <w:rsid w:val="008829DA"/>
    <w:rsid w:val="008B338E"/>
    <w:rsid w:val="008D0670"/>
    <w:rsid w:val="008F1A27"/>
    <w:rsid w:val="009200D7"/>
    <w:rsid w:val="0093650E"/>
    <w:rsid w:val="009945CA"/>
    <w:rsid w:val="009C7EBF"/>
    <w:rsid w:val="009F3DBB"/>
    <w:rsid w:val="00A54C4C"/>
    <w:rsid w:val="00A8116C"/>
    <w:rsid w:val="00AD3937"/>
    <w:rsid w:val="00AE0534"/>
    <w:rsid w:val="00AF7BC5"/>
    <w:rsid w:val="00B0696C"/>
    <w:rsid w:val="00B40C92"/>
    <w:rsid w:val="00B509F3"/>
    <w:rsid w:val="00BB4B5A"/>
    <w:rsid w:val="00BE615C"/>
    <w:rsid w:val="00C1725A"/>
    <w:rsid w:val="00C201B8"/>
    <w:rsid w:val="00C2303D"/>
    <w:rsid w:val="00C33884"/>
    <w:rsid w:val="00C40612"/>
    <w:rsid w:val="00C72F00"/>
    <w:rsid w:val="00CB0E5B"/>
    <w:rsid w:val="00CB5C4B"/>
    <w:rsid w:val="00CE05B7"/>
    <w:rsid w:val="00D00396"/>
    <w:rsid w:val="00D23170"/>
    <w:rsid w:val="00D50C5F"/>
    <w:rsid w:val="00D9424C"/>
    <w:rsid w:val="00D96146"/>
    <w:rsid w:val="00DC390C"/>
    <w:rsid w:val="00DE3FC8"/>
    <w:rsid w:val="00DF08B0"/>
    <w:rsid w:val="00DF17FB"/>
    <w:rsid w:val="00E0229F"/>
    <w:rsid w:val="00E214E9"/>
    <w:rsid w:val="00E27C57"/>
    <w:rsid w:val="00E41812"/>
    <w:rsid w:val="00E56BDA"/>
    <w:rsid w:val="00E57534"/>
    <w:rsid w:val="00E84845"/>
    <w:rsid w:val="00EA7529"/>
    <w:rsid w:val="00EF42BA"/>
    <w:rsid w:val="00F115B2"/>
    <w:rsid w:val="00F51F2A"/>
    <w:rsid w:val="00F86315"/>
    <w:rsid w:val="00FD6E91"/>
    <w:rsid w:val="00FE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43F0A"/>
  <w15:docId w15:val="{6C19CF1B-CA23-4630-96D9-797BF790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color w:val="000000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56F6B"/>
  </w:style>
  <w:style w:type="paragraph" w:styleId="Heading1">
    <w:name w:val="heading 1"/>
    <w:basedOn w:val="Normal"/>
    <w:next w:val="Normal"/>
    <w:rsid w:val="00456F6B"/>
    <w:pPr>
      <w:keepNext/>
      <w:keepLines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rsid w:val="00456F6B"/>
    <w:pPr>
      <w:keepNext/>
      <w:keepLines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rsid w:val="00456F6B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rsid w:val="00456F6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456F6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456F6B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56F6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456F6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6F6B"/>
    <w:tblPr>
      <w:tblStyleRowBandSize w:val="1"/>
      <w:tblStyleColBandSize w:val="1"/>
    </w:tblPr>
  </w:style>
  <w:style w:type="table" w:customStyle="1" w:styleId="a0">
    <w:basedOn w:val="TableNormal"/>
    <w:rsid w:val="00456F6B"/>
    <w:tblPr>
      <w:tblStyleRowBandSize w:val="1"/>
      <w:tblStyleColBandSize w:val="1"/>
    </w:tblPr>
  </w:style>
  <w:style w:type="table" w:customStyle="1" w:styleId="a1">
    <w:basedOn w:val="TableNormal"/>
    <w:rsid w:val="00456F6B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49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9D2"/>
  </w:style>
  <w:style w:type="paragraph" w:styleId="Footer">
    <w:name w:val="footer"/>
    <w:basedOn w:val="Normal"/>
    <w:link w:val="FooterChar"/>
    <w:uiPriority w:val="99"/>
    <w:unhideWhenUsed/>
    <w:rsid w:val="002E49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9D2"/>
  </w:style>
  <w:style w:type="paragraph" w:styleId="NormalWeb">
    <w:name w:val="Normal (Web)"/>
    <w:basedOn w:val="Normal"/>
    <w:uiPriority w:val="99"/>
    <w:unhideWhenUsed/>
    <w:rsid w:val="00E27C5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DefaultParagraphFont"/>
    <w:rsid w:val="00E27C57"/>
  </w:style>
  <w:style w:type="character" w:styleId="CommentReference">
    <w:name w:val="annotation reference"/>
    <w:basedOn w:val="DefaultParagraphFont"/>
    <w:uiPriority w:val="99"/>
    <w:semiHidden/>
    <w:unhideWhenUsed/>
    <w:rsid w:val="00AD3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93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9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9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9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93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5C4B"/>
    <w:pPr>
      <w:autoSpaceDE w:val="0"/>
      <w:autoSpaceDN w:val="0"/>
      <w:adjustRightInd w:val="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B5C4B"/>
    <w:pPr>
      <w:ind w:left="720"/>
      <w:contextualSpacing/>
    </w:pPr>
    <w:rPr>
      <w:rFonts w:eastAsia="Times New Roman" w:cs="Times New Roman"/>
      <w:color w:val="auto"/>
      <w:szCs w:val="24"/>
      <w:lang w:eastAsia="en-GB"/>
    </w:rPr>
  </w:style>
  <w:style w:type="paragraph" w:customStyle="1" w:styleId="Texthead">
    <w:name w:val="Text head"/>
    <w:basedOn w:val="Normal"/>
    <w:qFormat/>
    <w:rsid w:val="00CB5C4B"/>
    <w:pPr>
      <w:widowControl w:val="0"/>
      <w:suppressLineNumbers/>
      <w:suppressAutoHyphens/>
      <w:spacing w:before="180" w:line="260" w:lineRule="atLeast"/>
      <w:ind w:right="851"/>
    </w:pPr>
    <w:rPr>
      <w:rFonts w:ascii="Times New Roman" w:eastAsia="Times New Roman" w:hAnsi="Times New Roman" w:cs="Times New Roman"/>
      <w:b/>
      <w:i/>
      <w:iCs/>
      <w:color w:val="00000A"/>
      <w:lang w:eastAsia="en-GB"/>
    </w:rPr>
  </w:style>
  <w:style w:type="character" w:styleId="Hyperlink">
    <w:name w:val="Hyperlink"/>
    <w:basedOn w:val="DefaultParagraphFont"/>
    <w:uiPriority w:val="99"/>
    <w:unhideWhenUsed/>
    <w:rsid w:val="00CB5C4B"/>
    <w:rPr>
      <w:color w:val="0563C1" w:themeColor="hyperlink"/>
      <w:u w:val="single"/>
    </w:rPr>
  </w:style>
  <w:style w:type="character" w:customStyle="1" w:styleId="TabletextCharChar">
    <w:name w:val="Table text Char Char"/>
    <w:link w:val="Tabletext"/>
    <w:rsid w:val="00E84845"/>
    <w:rPr>
      <w:rFonts w:eastAsia="Times New Roman"/>
      <w:sz w:val="18"/>
      <w:szCs w:val="18"/>
    </w:rPr>
  </w:style>
  <w:style w:type="paragraph" w:customStyle="1" w:styleId="Tabletext">
    <w:name w:val="Table text"/>
    <w:link w:val="TabletextCharChar"/>
    <w:rsid w:val="00E84845"/>
    <w:pPr>
      <w:tabs>
        <w:tab w:val="left" w:pos="400"/>
      </w:tabs>
      <w:spacing w:before="40" w:after="40" w:line="240" w:lineRule="exact"/>
    </w:pPr>
    <w:rPr>
      <w:rFonts w:eastAsia="Times New Roman"/>
      <w:sz w:val="18"/>
      <w:szCs w:val="18"/>
    </w:rPr>
  </w:style>
  <w:style w:type="character" w:customStyle="1" w:styleId="TextChar">
    <w:name w:val="Text Char"/>
    <w:link w:val="Text"/>
    <w:locked/>
    <w:rsid w:val="005E01CB"/>
    <w:rPr>
      <w:rFonts w:cs="Humanist521BT-Light"/>
      <w:sz w:val="18"/>
      <w:szCs w:val="18"/>
    </w:rPr>
  </w:style>
  <w:style w:type="paragraph" w:customStyle="1" w:styleId="Text">
    <w:name w:val="Text"/>
    <w:basedOn w:val="Normal"/>
    <w:link w:val="TextChar"/>
    <w:rsid w:val="005E01CB"/>
    <w:pPr>
      <w:autoSpaceDE w:val="0"/>
      <w:autoSpaceDN w:val="0"/>
      <w:adjustRightInd w:val="0"/>
      <w:spacing w:before="60" w:after="60" w:line="260" w:lineRule="exact"/>
    </w:pPr>
    <w:rPr>
      <w:rFonts w:cs="Humanist521BT-Light"/>
      <w:sz w:val="18"/>
      <w:szCs w:val="18"/>
    </w:rPr>
  </w:style>
  <w:style w:type="character" w:customStyle="1" w:styleId="ACtabletextChar">
    <w:name w:val="AC table text Char"/>
    <w:link w:val="ACtabletext"/>
    <w:locked/>
    <w:rsid w:val="00731772"/>
    <w:rPr>
      <w:rFonts w:eastAsia="Times New Roman"/>
      <w:sz w:val="17"/>
      <w:lang w:eastAsia="en-US"/>
    </w:rPr>
  </w:style>
  <w:style w:type="paragraph" w:customStyle="1" w:styleId="ACtabletext">
    <w:name w:val="AC table text"/>
    <w:link w:val="ACtabletextChar"/>
    <w:rsid w:val="00731772"/>
    <w:pPr>
      <w:tabs>
        <w:tab w:val="left" w:pos="480"/>
      </w:tabs>
      <w:spacing w:before="60" w:after="60" w:line="220" w:lineRule="exact"/>
      <w:ind w:left="482" w:hanging="482"/>
    </w:pPr>
    <w:rPr>
      <w:rFonts w:eastAsia="Times New Roman"/>
      <w:sz w:val="17"/>
      <w:lang w:eastAsia="en-US"/>
    </w:rPr>
  </w:style>
  <w:style w:type="paragraph" w:styleId="Revision">
    <w:name w:val="Revision"/>
    <w:hidden/>
    <w:uiPriority w:val="99"/>
    <w:semiHidden/>
    <w:rsid w:val="00936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Jenkin, Claire</dc:creator>
  <cp:lastModifiedBy>Kupper, Julian</cp:lastModifiedBy>
  <cp:revision>2</cp:revision>
  <cp:lastPrinted>2015-12-21T11:19:00Z</cp:lastPrinted>
  <dcterms:created xsi:type="dcterms:W3CDTF">2019-09-06T13:47:00Z</dcterms:created>
  <dcterms:modified xsi:type="dcterms:W3CDTF">2019-09-06T13:47:00Z</dcterms:modified>
</cp:coreProperties>
</file>